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5F4E" w14:textId="77777777" w:rsidR="00DE4CF5" w:rsidRDefault="00DE4CF5" w:rsidP="00DE4CF5">
      <w:pPr>
        <w:widowControl/>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附件：</w:t>
      </w:r>
    </w:p>
    <w:p w14:paraId="28C80BA4" w14:textId="77777777" w:rsidR="00DE4CF5" w:rsidRDefault="00DE4CF5" w:rsidP="00DE4CF5">
      <w:pPr>
        <w:widowControl/>
        <w:spacing w:line="600" w:lineRule="exact"/>
        <w:jc w:val="center"/>
        <w:rPr>
          <w:rFonts w:ascii="方正小标宋简体" w:eastAsia="方正小标宋简体" w:hAnsi="方正小标宋简体" w:cs="方正小标宋简体" w:hint="eastAsia"/>
          <w:color w:val="000000"/>
          <w:spacing w:val="11"/>
          <w:kern w:val="0"/>
          <w:sz w:val="44"/>
          <w:szCs w:val="44"/>
          <w:shd w:val="clear" w:color="auto" w:fill="FFFFFF"/>
          <w:lang w:bidi="ar"/>
        </w:rPr>
      </w:pPr>
    </w:p>
    <w:p w14:paraId="1D735BB6" w14:textId="77777777" w:rsidR="00DE4CF5" w:rsidRDefault="00DE4CF5" w:rsidP="00DE4CF5">
      <w:pPr>
        <w:widowControl/>
        <w:spacing w:line="600" w:lineRule="exact"/>
        <w:jc w:val="center"/>
        <w:rPr>
          <w:rFonts w:ascii="方正小标宋简体" w:eastAsia="方正小标宋简体" w:hAnsi="方正小标宋简体" w:cs="方正小标宋简体" w:hint="eastAsia"/>
          <w:color w:val="000000"/>
          <w:spacing w:val="11"/>
          <w:kern w:val="0"/>
          <w:sz w:val="44"/>
          <w:szCs w:val="44"/>
          <w:shd w:val="clear" w:color="auto" w:fill="FFFFFF"/>
          <w:lang w:bidi="ar"/>
        </w:rPr>
      </w:pPr>
      <w:r>
        <w:rPr>
          <w:rFonts w:ascii="方正小标宋简体" w:eastAsia="方正小标宋简体" w:hAnsi="方正小标宋简体" w:cs="方正小标宋简体" w:hint="eastAsia"/>
          <w:color w:val="000000"/>
          <w:spacing w:val="11"/>
          <w:kern w:val="0"/>
          <w:sz w:val="44"/>
          <w:szCs w:val="44"/>
          <w:shd w:val="clear" w:color="auto" w:fill="FFFFFF"/>
          <w:lang w:bidi="ar"/>
        </w:rPr>
        <w:t>人民法院诉讼服务中心无障碍环境建设规范</w:t>
      </w:r>
    </w:p>
    <w:p w14:paraId="6D921361" w14:textId="77777777" w:rsidR="00DE4CF5" w:rsidRDefault="00DE4CF5" w:rsidP="00DE4CF5">
      <w:pPr>
        <w:widowControl/>
        <w:spacing w:line="600" w:lineRule="exact"/>
        <w:jc w:val="center"/>
        <w:rPr>
          <w:rFonts w:ascii="方正小标宋简体" w:eastAsia="方正小标宋简体" w:hAnsi="方正小标宋简体" w:cs="方正小标宋简体" w:hint="eastAsia"/>
          <w:color w:val="000000"/>
          <w:spacing w:val="11"/>
          <w:kern w:val="0"/>
          <w:sz w:val="44"/>
          <w:szCs w:val="44"/>
          <w:shd w:val="clear" w:color="auto" w:fill="FFFFFF"/>
          <w:lang w:bidi="ar"/>
        </w:rPr>
      </w:pPr>
    </w:p>
    <w:p w14:paraId="17FE6E45"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1.目的</w:t>
      </w:r>
    </w:p>
    <w:p w14:paraId="16D914A0"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为推动全国法院诉讼服务中心无障碍环境建设规范化、标准化、人性化，全面提升人民法院诉讼服务中心无障碍环境建设水平，制定本规范。</w:t>
      </w:r>
    </w:p>
    <w:p w14:paraId="20F90383"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2.定义</w:t>
      </w:r>
    </w:p>
    <w:p w14:paraId="0C0873B6"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诉讼服务中心无障碍环境建设是指人民法院为残疾人、老年人等群体在诉讼服务中心自主安全地出入、通行，使用附属设施，获取、使用、交流信息，获得诉讼服务提供便利。</w:t>
      </w:r>
    </w:p>
    <w:p w14:paraId="3B4BCCA8"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3.适用范围</w:t>
      </w:r>
    </w:p>
    <w:p w14:paraId="65F72411"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本规范为全国法院诉讼服务中心开展无障碍环境建设的统一规范，适用于人民法院诉讼服务中心新建、改建、扩建工程。</w:t>
      </w:r>
    </w:p>
    <w:p w14:paraId="552F949D"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对既有诉讼服务场所的改造应当参照本规范执行。</w:t>
      </w:r>
    </w:p>
    <w:p w14:paraId="1D652F37"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4.规范性文件引用</w:t>
      </w:r>
    </w:p>
    <w:p w14:paraId="4DD12533"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《中华人民共和国无障碍环境建设法》</w:t>
      </w:r>
    </w:p>
    <w:p w14:paraId="6B8CF5A8"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《无障碍环境建设条例》</w:t>
      </w:r>
    </w:p>
    <w:p w14:paraId="19B92FF6"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lastRenderedPageBreak/>
        <w:t>《最高人民法院、中国残疾人联合会关于在审判执行工作中切实维护残疾人合法权益的意见》</w:t>
      </w:r>
    </w:p>
    <w:p w14:paraId="7071A2A4"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《最高人民法院、最高人民检察院、公安部、司法部、中国残疾人联合会关于深入学习贯彻习近平法治思想 切实加强残疾人司法保护的意见》</w:t>
      </w:r>
    </w:p>
    <w:p w14:paraId="52796936"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5.建设原则</w:t>
      </w:r>
    </w:p>
    <w:p w14:paraId="16C60B5F"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人民法院诉讼服务中心无障碍环境建设，应当以符合残疾人诉讼服务需求为原则，坚持从实际出发，做到因地制宜、功能适用。</w:t>
      </w:r>
    </w:p>
    <w:p w14:paraId="46AEEB51"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6.无障碍通行设施</w:t>
      </w:r>
    </w:p>
    <w:p w14:paraId="3F8657EB"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诉讼服务中心应当设置以下无障碍通行设施：</w:t>
      </w:r>
    </w:p>
    <w:p w14:paraId="1FE7B5E1"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（1）诉讼服务中心应当设置无障碍出入口、无障碍通道，方便残疾人出入，无障碍通道有地面高差时，应当设置轮椅坡道或缘石坡道；</w:t>
      </w:r>
    </w:p>
    <w:p w14:paraId="1739349C"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（2）诉讼服务中心在建筑物二层以上的，应当设置无障碍楼梯或者无障碍电梯；</w:t>
      </w:r>
    </w:p>
    <w:p w14:paraId="08A3FD2C"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（3）诉讼服务中心出入口建有公共盲道的，应当设置室外盲道，室外盲道应当与公共盲道相连接；</w:t>
      </w:r>
    </w:p>
    <w:p w14:paraId="163432D1"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（4）诉讼服务中心建有停车场的，应当设置至少一个无障碍机动车停车位。</w:t>
      </w:r>
    </w:p>
    <w:p w14:paraId="6B8E2762"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7.无障碍服务设施</w:t>
      </w:r>
    </w:p>
    <w:p w14:paraId="4789C1ED"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诉讼服务中心应当设置以下无障碍服务设施：</w:t>
      </w:r>
    </w:p>
    <w:p w14:paraId="0AE18D86"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lastRenderedPageBreak/>
        <w:t>（1）低位服务设施，包括低位</w:t>
      </w:r>
      <w:proofErr w:type="gramStart"/>
      <w:r>
        <w:rPr>
          <w:rFonts w:ascii="仿宋" w:eastAsia="仿宋" w:hAnsi="仿宋" w:cs="仿宋" w:hint="eastAsia"/>
          <w:color w:val="000000"/>
          <w:spacing w:val="11"/>
          <w:kern w:val="0"/>
          <w:sz w:val="32"/>
          <w:szCs w:val="32"/>
          <w:shd w:val="clear" w:color="auto" w:fill="FFFFFF"/>
          <w:lang w:bidi="ar"/>
        </w:rPr>
        <w:t>导诉台</w:t>
      </w:r>
      <w:proofErr w:type="gramEnd"/>
      <w:r>
        <w:rPr>
          <w:rFonts w:ascii="仿宋" w:eastAsia="仿宋" w:hAnsi="仿宋" w:cs="仿宋" w:hint="eastAsia"/>
          <w:color w:val="000000"/>
          <w:spacing w:val="11"/>
          <w:kern w:val="0"/>
          <w:sz w:val="32"/>
          <w:szCs w:val="32"/>
          <w:shd w:val="clear" w:color="auto" w:fill="FFFFFF"/>
          <w:lang w:bidi="ar"/>
        </w:rPr>
        <w:t>、低位服务窗口、低位自助服务设备等；</w:t>
      </w:r>
    </w:p>
    <w:p w14:paraId="09FEFACA"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（2）满足无障碍要求的厕所，或者在方便残疾人进出的男、女厕所各设置至少一个无障碍厕位；</w:t>
      </w:r>
    </w:p>
    <w:p w14:paraId="15E7D833"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（3）可以根据场地实际和用途在诉讼服务大厅、调解室、审判法庭等区域设置轮椅席位。</w:t>
      </w:r>
    </w:p>
    <w:p w14:paraId="7A5DD492"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8.无障碍标识</w:t>
      </w:r>
    </w:p>
    <w:p w14:paraId="7CB0E025"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诉讼服务中心的无障碍设施处均应设置无障碍标识及文字说明。</w:t>
      </w:r>
    </w:p>
    <w:p w14:paraId="2893D611"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9.无障碍辅助设备</w:t>
      </w:r>
    </w:p>
    <w:p w14:paraId="4A880FEF"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诉讼服务中心应当根据实际为不同残疾类别、等级的残疾人配备以下无障碍辅助设备:</w:t>
      </w:r>
    </w:p>
    <w:p w14:paraId="60D821C8"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（1）为肢体残疾人提供拐杖、轮椅等移动辅助设备；</w:t>
      </w:r>
    </w:p>
    <w:p w14:paraId="5E94ED51"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（2）为视力残疾人提供放大镜等视力辅助设备；</w:t>
      </w:r>
    </w:p>
    <w:p w14:paraId="12611957"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（3）为听力残疾人提供无线</w:t>
      </w:r>
      <w:proofErr w:type="gramStart"/>
      <w:r>
        <w:rPr>
          <w:rFonts w:ascii="仿宋" w:eastAsia="仿宋" w:hAnsi="仿宋" w:cs="仿宋" w:hint="eastAsia"/>
          <w:color w:val="000000"/>
          <w:spacing w:val="11"/>
          <w:kern w:val="0"/>
          <w:sz w:val="32"/>
          <w:szCs w:val="32"/>
          <w:shd w:val="clear" w:color="auto" w:fill="FFFFFF"/>
          <w:lang w:bidi="ar"/>
        </w:rPr>
        <w:t>辅听系统</w:t>
      </w:r>
      <w:proofErr w:type="gramEnd"/>
      <w:r>
        <w:rPr>
          <w:rFonts w:ascii="仿宋" w:eastAsia="仿宋" w:hAnsi="仿宋" w:cs="仿宋" w:hint="eastAsia"/>
          <w:color w:val="000000"/>
          <w:spacing w:val="11"/>
          <w:kern w:val="0"/>
          <w:sz w:val="32"/>
          <w:szCs w:val="32"/>
          <w:shd w:val="clear" w:color="auto" w:fill="FFFFFF"/>
          <w:lang w:bidi="ar"/>
        </w:rPr>
        <w:t>等听力辅助设备；</w:t>
      </w:r>
    </w:p>
    <w:p w14:paraId="3215DB13"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（4）为言语残疾人提供手写板等信息沟通辅助设备。</w:t>
      </w:r>
    </w:p>
    <w:p w14:paraId="0B8231C9"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10.无障碍诉讼资料</w:t>
      </w:r>
    </w:p>
    <w:p w14:paraId="1CBCA33F"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诉讼服务中心应当根据实际配备有声、大字、电子、盲文等无障碍版本的诉讼资料，包括诉前调解指</w:t>
      </w:r>
      <w:r>
        <w:rPr>
          <w:rFonts w:ascii="仿宋" w:eastAsia="仿宋" w:hAnsi="仿宋" w:cs="仿宋" w:hint="eastAsia"/>
          <w:color w:val="000000"/>
          <w:spacing w:val="11"/>
          <w:kern w:val="0"/>
          <w:sz w:val="32"/>
          <w:szCs w:val="32"/>
          <w:shd w:val="clear" w:color="auto" w:fill="FFFFFF"/>
          <w:lang w:bidi="ar"/>
        </w:rPr>
        <w:lastRenderedPageBreak/>
        <w:t>南、立案、应诉、申请执行须知、人民法院在线服务等平台应用手册等：</w:t>
      </w:r>
    </w:p>
    <w:p w14:paraId="0BCF5659"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（1）诉讼资料以纸质版提供的，字体字号设置应当不小于小三号，并设置合适的行间距，方便残疾人识别和使用；</w:t>
      </w:r>
    </w:p>
    <w:p w14:paraId="2C303920"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（2）诉讼资料以电子版提供的，应当具备语音识别、页面字体放大或缩小等功能；</w:t>
      </w:r>
    </w:p>
    <w:p w14:paraId="510C3B38"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（3）诉讼资料以盲文版提供的，应当符合《国家通用盲文方案》的规范要求。</w:t>
      </w:r>
    </w:p>
    <w:p w14:paraId="5D48AED4"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11.人员培训管理</w:t>
      </w:r>
    </w:p>
    <w:p w14:paraId="4867F2E7"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人民法院应当在诉讼服务中心推广使用残疾人联合会及专门协会单位制定的无障碍服务使用手册，加强对诉讼服务人员、立案人员、驻院调解员等培训及考核，进一步提高人民法院无障碍服务水平。</w:t>
      </w:r>
    </w:p>
    <w:p w14:paraId="56DE535F" w14:textId="77777777" w:rsidR="00DE4CF5" w:rsidRDefault="00DE4CF5" w:rsidP="00DE4CF5">
      <w:pPr>
        <w:widowControl/>
        <w:spacing w:line="600" w:lineRule="exact"/>
        <w:ind w:firstLineChars="200" w:firstLine="684"/>
        <w:jc w:val="left"/>
        <w:rPr>
          <w:rFonts w:ascii="黑体" w:eastAsia="黑体" w:hAnsi="黑体" w:cs="黑体" w:hint="eastAsia"/>
          <w:color w:val="000000"/>
          <w:spacing w:val="11"/>
          <w:kern w:val="0"/>
          <w:sz w:val="32"/>
          <w:szCs w:val="32"/>
          <w:shd w:val="clear" w:color="auto" w:fill="FFFFFF"/>
          <w:lang w:bidi="ar"/>
        </w:rPr>
      </w:pPr>
      <w:r>
        <w:rPr>
          <w:rFonts w:ascii="黑体" w:eastAsia="黑体" w:hAnsi="黑体" w:cs="黑体" w:hint="eastAsia"/>
          <w:color w:val="000000"/>
          <w:spacing w:val="11"/>
          <w:kern w:val="0"/>
          <w:sz w:val="32"/>
          <w:szCs w:val="32"/>
          <w:shd w:val="clear" w:color="auto" w:fill="FFFFFF"/>
          <w:lang w:bidi="ar"/>
        </w:rPr>
        <w:t>12.建设标准</w:t>
      </w:r>
    </w:p>
    <w:p w14:paraId="2A3139FB" w14:textId="77777777" w:rsidR="00DE4CF5" w:rsidRDefault="00DE4CF5" w:rsidP="00DE4CF5">
      <w:pPr>
        <w:widowControl/>
        <w:spacing w:line="600" w:lineRule="exact"/>
        <w:ind w:firstLineChars="200" w:firstLine="684"/>
        <w:jc w:val="left"/>
        <w:rPr>
          <w:rFonts w:ascii="仿宋" w:eastAsia="仿宋" w:hAnsi="仿宋" w:cs="仿宋" w:hint="eastAsia"/>
          <w:color w:val="000000"/>
          <w:spacing w:val="11"/>
          <w:kern w:val="0"/>
          <w:sz w:val="32"/>
          <w:szCs w:val="32"/>
          <w:shd w:val="clear" w:color="auto" w:fill="FFFFFF"/>
          <w:lang w:bidi="ar"/>
        </w:rPr>
      </w:pPr>
      <w:r>
        <w:rPr>
          <w:rFonts w:ascii="仿宋" w:eastAsia="仿宋" w:hAnsi="仿宋" w:cs="仿宋" w:hint="eastAsia"/>
          <w:color w:val="000000"/>
          <w:spacing w:val="11"/>
          <w:kern w:val="0"/>
          <w:sz w:val="32"/>
          <w:szCs w:val="32"/>
          <w:shd w:val="clear" w:color="auto" w:fill="FFFFFF"/>
          <w:lang w:bidi="ar"/>
        </w:rPr>
        <w:t>诉讼服务中心无障碍环境建设应当符合《建筑与市政工程无障碍通用规范》（GB 55019-2021）等国家无障碍环境建设标准的规定。</w:t>
      </w:r>
    </w:p>
    <w:p w14:paraId="1BCCBE68" w14:textId="77777777" w:rsidR="0008676F" w:rsidRPr="00DE4CF5" w:rsidRDefault="0008676F"/>
    <w:sectPr w:rsidR="0008676F" w:rsidRPr="00DE4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F5"/>
    <w:rsid w:val="0008676F"/>
    <w:rsid w:val="007F4887"/>
    <w:rsid w:val="00DE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CAEA"/>
  <w15:chartTrackingRefBased/>
  <w15:docId w15:val="{153FD3F0-109D-4058-BD34-0F413106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亚洁 王</dc:creator>
  <cp:keywords/>
  <dc:description/>
  <cp:lastModifiedBy>亚洁 王</cp:lastModifiedBy>
  <cp:revision>1</cp:revision>
  <dcterms:created xsi:type="dcterms:W3CDTF">2024-03-06T10:13:00Z</dcterms:created>
  <dcterms:modified xsi:type="dcterms:W3CDTF">2024-03-06T10:13:00Z</dcterms:modified>
</cp:coreProperties>
</file>